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E79" w:rsidRPr="004C0E79" w:rsidRDefault="004C0E79" w:rsidP="004C0E79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  <w:r w:rsidRPr="004C0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Krupski Młyn,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16</w:t>
      </w:r>
      <w:r w:rsidRPr="004C0E79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11</w:t>
      </w:r>
      <w:r w:rsidRPr="004C0E79">
        <w:rPr>
          <w:rFonts w:ascii="Times New Roman" w:eastAsia="Times New Roman" w:hAnsi="Times New Roman" w:cs="Times New Roman"/>
          <w:sz w:val="16"/>
          <w:szCs w:val="16"/>
          <w:lang w:eastAsia="pl-PL"/>
        </w:rPr>
        <w:t>.201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4C0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p w:rsidR="004C0E79" w:rsidRPr="004C0E79" w:rsidRDefault="004C0E79" w:rsidP="004C0E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0E79" w:rsidRPr="004C0E79" w:rsidRDefault="004C0E79" w:rsidP="004C0E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0E79" w:rsidRPr="004C0E79" w:rsidRDefault="004C0E79" w:rsidP="004C0E7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4C0E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0E7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Wójt Gminy Krupski Młyn powołując się na treść art. 30 ust. 2 pkt 3 ustawy z dnia 8 marca 1990 roku o samorządzie gminnym ( tj. Dz. U. poz. 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9</w:t>
      </w:r>
      <w:r w:rsidRPr="004C0E79">
        <w:rPr>
          <w:rFonts w:ascii="Times New Roman" w:eastAsia="Times New Roman" w:hAnsi="Times New Roman" w:cs="Times New Roman"/>
          <w:sz w:val="14"/>
          <w:szCs w:val="14"/>
          <w:lang w:eastAsia="pl-PL"/>
        </w:rPr>
        <w:t>94 z 201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8</w:t>
      </w:r>
      <w:r w:rsidRPr="004C0E7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r. z późn. zm.) i ustawy z dnia 21 sierpnia 1997 roku o gospodarce nieruchomościami (tj. Dz. U., poz.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121</w:t>
      </w:r>
      <w:r w:rsidRPr="004C0E7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z 201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8</w:t>
      </w:r>
      <w:r w:rsidRPr="004C0E7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r.)  w wykonaniu uchwały Rady Gminy Krupski Młyn Nr XXXIX/302/10 Rady Gminy Krupski Młyn z dnia 27.04.2010 roku w sprawie określ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enia zasad  nabywania, zbywania</w:t>
      </w:r>
      <w:r w:rsidRPr="004C0E7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i obciążania nieruchomości oraz ich wydzierżawiania lub wynajmowania na czas określony dłuższy niż trzy lata lub na czas nieoznaczony oraz zasad sprzedaży lokali mieszkalnych w budynkach stanowiący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ch własność Gminy Krupski Młyn,</w:t>
      </w:r>
      <w:r w:rsidRPr="004C0E7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i uchwały Nr XXVI/206/05 Rady Gminy Krupski Młyn z dnia 25 maja 2005 r.  w sprawie: przeznaczenia do sprzedaży nieruchomości gruntowych niezabudowanych położonych  w Potępie – Żyłce podaje do publicznej wiadomości </w:t>
      </w:r>
    </w:p>
    <w:p w:rsidR="004C0E79" w:rsidRPr="004C0E79" w:rsidRDefault="004C0E79" w:rsidP="004C0E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0E79" w:rsidRPr="004C0E79" w:rsidRDefault="004C0E79" w:rsidP="004C0E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0E79" w:rsidRPr="004C0E79" w:rsidRDefault="004C0E79" w:rsidP="004C0E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0E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WYKAZ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4C0E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4/201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</w:p>
    <w:p w:rsidR="004C0E79" w:rsidRPr="004C0E79" w:rsidRDefault="004C0E79" w:rsidP="004C0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0E79" w:rsidRPr="004C0E79" w:rsidRDefault="004C0E79" w:rsidP="004C0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0E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Nieruchomości gruntowych niezabudow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anych położonych w</w:t>
      </w:r>
      <w:r w:rsidRPr="004C0E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Żył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</w:t>
      </w:r>
      <w:r w:rsidRPr="004C0E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Gmina Krupski Młyn przeznaczonych do sprzedaży w trybie przepisów ustawy o gospodarce nieruchomościami         </w:t>
      </w:r>
    </w:p>
    <w:p w:rsidR="004C0E79" w:rsidRPr="004C0E79" w:rsidRDefault="004C0E79" w:rsidP="004C0E7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C0E79" w:rsidRPr="004C0E79" w:rsidRDefault="004C0E79" w:rsidP="004C0E7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555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1400"/>
        <w:gridCol w:w="1440"/>
        <w:gridCol w:w="1440"/>
        <w:gridCol w:w="2239"/>
        <w:gridCol w:w="2261"/>
        <w:gridCol w:w="3780"/>
        <w:gridCol w:w="2520"/>
      </w:tblGrid>
      <w:tr w:rsidR="004C0E79" w:rsidRPr="004C0E79" w:rsidTr="002C1EF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Księgi Wieczystej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Karta mapy</w:t>
            </w:r>
          </w:p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działki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proofErr w:type="spellStart"/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nierucho</w:t>
            </w:r>
            <w:proofErr w:type="spellEnd"/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-mości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nieruchomości</w:t>
            </w:r>
          </w:p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w części wspólnej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Przeznaczenie nieruchomości w miejscowym planie </w:t>
            </w:r>
            <w:proofErr w:type="spellStart"/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zagospod</w:t>
            </w:r>
            <w:proofErr w:type="spellEnd"/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przestrzennego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Sposób zagospodarowania nieruchomości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nieruchomości w zł</w:t>
            </w:r>
          </w:p>
        </w:tc>
      </w:tr>
      <w:tr w:rsidR="004C0E79" w:rsidRPr="004C0E79" w:rsidTr="002C1EF2">
        <w:trPr>
          <w:cantSplit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</w:tcPr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</w:tcPr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6" w:space="0" w:color="auto"/>
            </w:tcBorders>
          </w:tcPr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6" w:space="0" w:color="auto"/>
            </w:tcBorders>
          </w:tcPr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auto"/>
            </w:tcBorders>
          </w:tcPr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</w:tr>
      <w:tr w:rsidR="004C0E79" w:rsidRPr="004C0E79" w:rsidTr="002C1EF2">
        <w:trPr>
          <w:cantSplit/>
        </w:trPr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GL1T/000723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k.m.8 </w:t>
            </w:r>
          </w:p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dz. Nr 47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/87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</w:t>
            </w:r>
            <w:r w:rsidR="00C226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1006</w:t>
            </w: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ha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</w:tcPr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Nieruchomość położona                    w</w:t>
            </w:r>
            <w:r w:rsidR="00C226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Żyłce  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</w:tcPr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Ochrona i poprawa stanu środowiska, wypoczynek                i rekreacja, rolnictwo i leśnictwo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Nieruchomość gruntowa niezabudowana położona                w Żyłce obejmuje działkę niezabudowaną               </w:t>
            </w:r>
            <w:r w:rsidR="00C226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</w:t>
            </w: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 pow. </w:t>
            </w:r>
            <w:r w:rsidR="00C226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6 m </w:t>
            </w: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="00C226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="00C226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</w:t>
            </w: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,00 zł </w:t>
            </w:r>
          </w:p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+ należny podatek VAT</w:t>
            </w:r>
          </w:p>
        </w:tc>
      </w:tr>
      <w:tr w:rsidR="004C0E79" w:rsidRPr="004C0E79" w:rsidTr="002C1EF2">
        <w:trPr>
          <w:cantSplit/>
        </w:trPr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E79" w:rsidRPr="004C0E79" w:rsidRDefault="00C226F8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="004C0E79"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GL1T/000723</w:t>
            </w:r>
            <w:r w:rsidR="00C226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1/</w:t>
            </w:r>
            <w:r w:rsidR="00C226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k.m.8 </w:t>
            </w:r>
          </w:p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dz. Nr 4</w:t>
            </w:r>
            <w:r w:rsidR="00C226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4/87</w:t>
            </w:r>
          </w:p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(dr)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</w:t>
            </w:r>
            <w:r w:rsidR="00C226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593</w:t>
            </w: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ha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</w:tcPr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Nieruchomoś</w:t>
            </w:r>
            <w:r w:rsidR="00C226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ć położona                   w </w:t>
            </w: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Żyłce  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</w:tcPr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Ochrona i poprawa stanu środowiska, wypoczynek               i rekreacja, rolnictwo                  i leśnictwo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Nieruchomość gruntowa niezabudowana - droga położona w Żyłce obejmuje działkę niezabudowaną (dr) o pow. </w:t>
            </w:r>
            <w:r w:rsidR="00C226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593</w:t>
            </w: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 </w:t>
            </w: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9.98</w:t>
            </w:r>
            <w:r w:rsidR="00C226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,00 zł </w:t>
            </w:r>
          </w:p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+ należny podatek VAT</w:t>
            </w:r>
          </w:p>
        </w:tc>
      </w:tr>
      <w:tr w:rsidR="004C0E79" w:rsidRPr="004C0E79" w:rsidTr="002C1EF2">
        <w:trPr>
          <w:cantSplit/>
        </w:trPr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E79" w:rsidRPr="004C0E79" w:rsidRDefault="00C226F8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="004C0E79"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GL1T/000723</w:t>
            </w:r>
            <w:r w:rsidR="00C226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</w:t>
            </w:r>
            <w:r w:rsidR="00C226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k.m.8</w:t>
            </w:r>
          </w:p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dz. Nr 4</w:t>
            </w:r>
            <w:r w:rsidR="00C226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</w:t>
            </w:r>
            <w:r w:rsidR="00C226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(dr)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</w:t>
            </w:r>
            <w:r w:rsidR="00C226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826</w:t>
            </w: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ha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</w:tcPr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Nieruchomość położona                   w</w:t>
            </w:r>
            <w:r w:rsidR="00C226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Żyłce  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</w:tcPr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Ochrona i poprawa stanu środowiska, wypoczynek               i rekreacja, rolnictwo                  i leśnictwo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Nieruchomość gruntowa niezabudowana - droga położona w Żyłce obejmuje działkę niezabudowaną (dr) o pow. </w:t>
            </w:r>
            <w:r w:rsidR="00C226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826</w:t>
            </w: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 </w:t>
            </w: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C226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="00C226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902</w:t>
            </w: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,00 zł </w:t>
            </w:r>
          </w:p>
          <w:p w:rsidR="004C0E79" w:rsidRPr="004C0E79" w:rsidRDefault="004C0E79" w:rsidP="004C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+ należny podatek VAT</w:t>
            </w:r>
          </w:p>
        </w:tc>
      </w:tr>
    </w:tbl>
    <w:p w:rsidR="004C0E79" w:rsidRPr="004C0E79" w:rsidRDefault="004C0E79" w:rsidP="004C0E7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C0E79" w:rsidRPr="004C0E79" w:rsidRDefault="004C0E79" w:rsidP="004C0E7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C0E79" w:rsidRPr="004C0E79" w:rsidRDefault="004C0E79" w:rsidP="004C0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C0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Wartość nieruchomości obowiązuje przez okres roczny począwszy od dnia </w:t>
      </w:r>
      <w:r w:rsidR="00C226F8">
        <w:rPr>
          <w:rFonts w:ascii="Times New Roman" w:eastAsia="Times New Roman" w:hAnsi="Times New Roman" w:cs="Times New Roman"/>
          <w:sz w:val="16"/>
          <w:szCs w:val="16"/>
          <w:lang w:eastAsia="pl-PL"/>
        </w:rPr>
        <w:t>16</w:t>
      </w:r>
      <w:r w:rsidRPr="004C0E79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C226F8">
        <w:rPr>
          <w:rFonts w:ascii="Times New Roman" w:eastAsia="Times New Roman" w:hAnsi="Times New Roman" w:cs="Times New Roman"/>
          <w:sz w:val="16"/>
          <w:szCs w:val="16"/>
          <w:lang w:eastAsia="pl-PL"/>
        </w:rPr>
        <w:t>11</w:t>
      </w:r>
      <w:r w:rsidRPr="004C0E79">
        <w:rPr>
          <w:rFonts w:ascii="Times New Roman" w:eastAsia="Times New Roman" w:hAnsi="Times New Roman" w:cs="Times New Roman"/>
          <w:sz w:val="16"/>
          <w:szCs w:val="16"/>
          <w:lang w:eastAsia="pl-PL"/>
        </w:rPr>
        <w:t>.201</w:t>
      </w:r>
      <w:r w:rsidR="00C226F8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4C0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 do dnia </w:t>
      </w:r>
      <w:r w:rsidR="00C226F8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4C0E79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C226F8">
        <w:rPr>
          <w:rFonts w:ascii="Times New Roman" w:eastAsia="Times New Roman" w:hAnsi="Times New Roman" w:cs="Times New Roman"/>
          <w:sz w:val="16"/>
          <w:szCs w:val="16"/>
          <w:lang w:eastAsia="pl-PL"/>
        </w:rPr>
        <w:t>11</w:t>
      </w:r>
      <w:r w:rsidRPr="004C0E79">
        <w:rPr>
          <w:rFonts w:ascii="Times New Roman" w:eastAsia="Times New Roman" w:hAnsi="Times New Roman" w:cs="Times New Roman"/>
          <w:sz w:val="16"/>
          <w:szCs w:val="16"/>
          <w:lang w:eastAsia="pl-PL"/>
        </w:rPr>
        <w:t>.201</w:t>
      </w:r>
      <w:r w:rsidR="00C226F8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4C0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p w:rsidR="004C0E79" w:rsidRPr="004C0E79" w:rsidRDefault="004C0E79" w:rsidP="004C0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C0E79" w:rsidRPr="004C0E79" w:rsidRDefault="004C0E79" w:rsidP="004C0E79">
      <w:pPr>
        <w:spacing w:after="0" w:line="240" w:lineRule="auto"/>
        <w:ind w:left="-624" w:right="-624" w:firstLine="62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C0E79">
        <w:rPr>
          <w:rFonts w:ascii="Times New Roman" w:eastAsia="Times New Roman" w:hAnsi="Times New Roman" w:cs="Times New Roman"/>
          <w:sz w:val="16"/>
          <w:szCs w:val="16"/>
          <w:lang w:eastAsia="pl-PL"/>
        </w:rPr>
        <w:t>Pierwszeństwo w nabyciu tej nieruchomości przysługuje poprzednim właścicielom (albo ich spadkobiercom) zbywanej nieruchomości pozbawionym prawa własności tej nieruchomości przed dniem 5 grudnia 1990 r.</w:t>
      </w:r>
    </w:p>
    <w:p w:rsidR="004C0E79" w:rsidRPr="004C0E79" w:rsidRDefault="004C0E79" w:rsidP="004C0E79">
      <w:pPr>
        <w:spacing w:after="0" w:line="240" w:lineRule="auto"/>
        <w:ind w:left="-624" w:right="-62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C0E79">
        <w:rPr>
          <w:rFonts w:ascii="Times New Roman" w:eastAsia="Times New Roman" w:hAnsi="Times New Roman" w:cs="Times New Roman"/>
          <w:sz w:val="16"/>
          <w:szCs w:val="16"/>
          <w:lang w:eastAsia="pl-PL"/>
        </w:rPr>
        <w:t>Termin złożenia wniosku o nabycie przedmiotowej działki, przez osoby którym przysługuje pierwszeństwo w nabyciu – sześć tygodni od dnia wywieszenia wykazu.</w:t>
      </w:r>
    </w:p>
    <w:p w:rsidR="004C0E79" w:rsidRPr="004C0E79" w:rsidRDefault="004C0E79" w:rsidP="004C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E79" w:rsidRPr="004C0E79" w:rsidRDefault="004C0E79" w:rsidP="004C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E8D" w:rsidRDefault="007C1E8D"/>
    <w:sectPr w:rsidR="007C1E8D" w:rsidSect="004C0E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79"/>
    <w:rsid w:val="003316C2"/>
    <w:rsid w:val="004C0E79"/>
    <w:rsid w:val="007C1E8D"/>
    <w:rsid w:val="00C2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A23B7-D49A-4BDB-A18A-DCDA868E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Anizaw</cp:lastModifiedBy>
  <cp:revision>2</cp:revision>
  <cp:lastPrinted>2018-11-07T07:55:00Z</cp:lastPrinted>
  <dcterms:created xsi:type="dcterms:W3CDTF">2018-11-30T05:58:00Z</dcterms:created>
  <dcterms:modified xsi:type="dcterms:W3CDTF">2018-11-30T05:58:00Z</dcterms:modified>
</cp:coreProperties>
</file>